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9"/>
        <w:gridCol w:w="10041"/>
      </w:tblGrid>
      <w:tr w:rsidR="0073217F" w:rsidTr="0073217F">
        <w:trPr>
          <w:tblCellSpacing w:w="0" w:type="dxa"/>
        </w:trPr>
        <w:tc>
          <w:tcPr>
            <w:tcW w:w="0" w:type="auto"/>
            <w:gridSpan w:val="2"/>
            <w:shd w:val="clear" w:color="auto" w:fill="DDDDDD"/>
            <w:vAlign w:val="center"/>
            <w:hideMark/>
          </w:tcPr>
          <w:p w:rsidR="0073217F" w:rsidRDefault="0073217F">
            <w:pPr>
              <w:rPr>
                <w:rFonts w:ascii="Arial" w:eastAsia="Times New Roman" w:hAnsi="Arial" w:cs="Arial"/>
              </w:rPr>
            </w:pPr>
            <w:r>
              <w:rPr>
                <w:rFonts w:ascii="Arial" w:eastAsia="Times New Roman" w:hAnsi="Arial" w:cs="Arial"/>
              </w:rPr>
              <w:t> </w:t>
            </w:r>
          </w:p>
        </w:tc>
      </w:tr>
      <w:tr w:rsidR="0073217F" w:rsidTr="0073217F">
        <w:trPr>
          <w:tblCellSpacing w:w="0" w:type="dxa"/>
        </w:trPr>
        <w:tc>
          <w:tcPr>
            <w:tcW w:w="300" w:type="dxa"/>
            <w:shd w:val="clear" w:color="auto" w:fill="DDDDDD"/>
            <w:vAlign w:val="center"/>
            <w:hideMark/>
          </w:tcPr>
          <w:p w:rsidR="0073217F" w:rsidRDefault="0073217F">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73217F">
              <w:trPr>
                <w:tblCellSpacing w:w="0" w:type="dxa"/>
              </w:trPr>
              <w:tc>
                <w:tcPr>
                  <w:tcW w:w="0" w:type="auto"/>
                  <w:vAlign w:val="center"/>
                  <w:hideMark/>
                </w:tcPr>
                <w:p w:rsidR="0073217F" w:rsidRDefault="0073217F">
                  <w:pPr>
                    <w:jc w:val="center"/>
                    <w:rPr>
                      <w:rFonts w:eastAsia="Times New Roman"/>
                      <w:b/>
                      <w:bCs/>
                    </w:rPr>
                  </w:pPr>
                  <w:r>
                    <w:rPr>
                      <w:rFonts w:eastAsia="Times New Roman"/>
                      <w:b/>
                      <w:bCs/>
                      <w:noProof/>
                    </w:rPr>
                    <w:drawing>
                      <wp:inline distT="0" distB="0" distL="0" distR="0">
                        <wp:extent cx="6190615" cy="1324610"/>
                        <wp:effectExtent l="0" t="0" r="635" b="8890"/>
                        <wp:docPr id="26" name="Grafik 26"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73217F">
              <w:trPr>
                <w:trHeight w:val="375"/>
                <w:tblCellSpacing w:w="0" w:type="dxa"/>
              </w:trPr>
              <w:tc>
                <w:tcPr>
                  <w:tcW w:w="0" w:type="auto"/>
                  <w:vAlign w:val="center"/>
                  <w:hideMark/>
                </w:tcPr>
                <w:p w:rsidR="0073217F" w:rsidRDefault="0073217F">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207 / 26.09.2018</w:t>
                  </w:r>
                </w:p>
              </w:tc>
            </w:tr>
            <w:tr w:rsidR="0073217F">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73217F">
                    <w:trPr>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73217F">
                    <w:trPr>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73217F" w:rsidRDefault="0073217F">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73217F" w:rsidRDefault="0073217F">
                  <w:pPr>
                    <w:rPr>
                      <w:rFonts w:eastAsia="Times New Roman"/>
                      <w:sz w:val="20"/>
                      <w:szCs w:val="20"/>
                    </w:rPr>
                  </w:pPr>
                </w:p>
              </w:tc>
            </w:tr>
            <w:tr w:rsidR="0073217F">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73217F">
                    <w:trPr>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73217F">
                    <w:trPr>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70 Jahre Jugendverbandsarbeit! Landesjugendring NRW feierte 70-jähriges Bestehen</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Gemeinsam mit 100 geladenen Gästen aus Jugendverbandsarbeit, Politik und Wissenschaft feierte der Landesjugendring NRW am 25. September 2017 im MKFFI sein 70-jähriges Bestehen – und diskutierte Herausforderungen für die Zukunft.</w:t>
                        </w:r>
                        <w:r>
                          <w:rPr>
                            <w:rFonts w:ascii="Arial" w:hAnsi="Arial" w:cs="Arial"/>
                            <w:sz w:val="21"/>
                            <w:szCs w:val="21"/>
                          </w:rPr>
                          <w:br/>
                        </w:r>
                        <w:r>
                          <w:rPr>
                            <w:rFonts w:ascii="Arial" w:hAnsi="Arial" w:cs="Arial"/>
                            <w:b/>
                            <w:bCs/>
                            <w:sz w:val="21"/>
                            <w:szCs w:val="21"/>
                          </w:rPr>
                          <w:t xml:space="preserve">Hier geht´s zur </w:t>
                        </w:r>
                        <w:hyperlink r:id="rId6" w:tgtFrame="_blank" w:tooltip="Jubiläum des Landesjugendrings NRW" w:history="1">
                          <w:r>
                            <w:rPr>
                              <w:rStyle w:val="Hyperlink"/>
                              <w:rFonts w:ascii="Arial" w:hAnsi="Arial" w:cs="Arial"/>
                              <w:b/>
                              <w:bCs/>
                              <w:sz w:val="21"/>
                              <w:szCs w:val="21"/>
                            </w:rPr>
                            <w:t>Pressemitteilung</w:t>
                          </w:r>
                        </w:hyperlink>
                        <w:r>
                          <w:rPr>
                            <w:rFonts w:ascii="Arial" w:hAnsi="Arial" w:cs="Arial"/>
                            <w:b/>
                            <w:bCs/>
                            <w:sz w:val="21"/>
                            <w:szCs w:val="21"/>
                          </w:rPr>
                          <w:t xml:space="preserve">    </w:t>
                        </w:r>
                        <w:r>
                          <w:rPr>
                            <w:rFonts w:ascii="Arial" w:hAnsi="Arial" w:cs="Arial"/>
                            <w:sz w:val="21"/>
                            <w:szCs w:val="21"/>
                          </w:rPr>
                          <w:br/>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Appell zum Weltkindertag: Von Damaskus bis Bad Salzuflen – das Recht auf Bildung gilt überall!</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Die Aktionsgemeinschaft Junge Flüchtlinge in NRW hat zum Weltkindertag am 20. September 2018 einen Appell veröffentlicht, in dem sie wie bereits 2017 die Schulpflicht für junge Menschen mit Fluchthintergrund von Anfang an sowie ein Ende von Verstößen gegen die UN-Kinderrechtskonvention fordert. Mehr als 1.000 Kindern und Jugendlichen in den Landesunterkünften wird das Recht auf Bildung und damit ihr Schulbesuch monatelang vorenthalten.</w:t>
                        </w:r>
                        <w:r>
                          <w:rPr>
                            <w:rFonts w:ascii="Arial" w:hAnsi="Arial" w:cs="Arial"/>
                            <w:sz w:val="21"/>
                            <w:szCs w:val="21"/>
                          </w:rPr>
                          <w:br/>
                        </w:r>
                        <w:r>
                          <w:rPr>
                            <w:rFonts w:ascii="Arial" w:hAnsi="Arial" w:cs="Arial"/>
                            <w:b/>
                            <w:bCs/>
                            <w:sz w:val="21"/>
                            <w:szCs w:val="21"/>
                          </w:rPr>
                          <w:t xml:space="preserve">Hier geht´s zum </w:t>
                        </w:r>
                        <w:hyperlink r:id="rId7" w:tgtFrame="_blank" w:tooltip="Appell zum Weltkindertag" w:history="1">
                          <w:r>
                            <w:rPr>
                              <w:rStyle w:val="Hyperlink"/>
                              <w:rFonts w:ascii="Arial" w:hAnsi="Arial" w:cs="Arial"/>
                              <w:b/>
                              <w:bCs/>
                              <w:sz w:val="21"/>
                              <w:szCs w:val="21"/>
                            </w:rPr>
                            <w:t>Appell der Aktionsgemeinschaft Junge Flüchtlinge in NRW</w:t>
                          </w:r>
                        </w:hyperlink>
                        <w:r>
                          <w:rPr>
                            <w:rFonts w:ascii="Arial" w:hAnsi="Arial" w:cs="Arial"/>
                            <w:b/>
                            <w:bCs/>
                            <w:sz w:val="21"/>
                            <w:szCs w:val="21"/>
                          </w:rPr>
                          <w:t xml:space="preserve">     </w:t>
                        </w:r>
                        <w:r>
                          <w:rPr>
                            <w:rFonts w:ascii="Arial" w:hAnsi="Arial" w:cs="Arial"/>
                            <w:sz w:val="21"/>
                            <w:szCs w:val="21"/>
                          </w:rPr>
                          <w:br/>
                        </w:r>
                      </w:p>
                      <w:p w:rsidR="0073217F" w:rsidRDefault="0073217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Voting</w:t>
                        </w:r>
                        <w:proofErr w:type="spellEnd"/>
                        <w:r>
                          <w:rPr>
                            <w:rFonts w:ascii="Arial" w:eastAsia="Times New Roman" w:hAnsi="Arial" w:cs="Arial"/>
                          </w:rPr>
                          <w:t xml:space="preserve"> buntblick: Ab 1. Oktober abstimmen für den Publikumspreis buntblick 2018 - Deine Stimme zählt!</w:t>
                        </w:r>
                      </w:p>
                      <w:p w:rsidR="0073217F" w:rsidRDefault="0073217F" w:rsidP="0073217F">
                        <w:pPr>
                          <w:pStyle w:val="StandardWeb"/>
                          <w:spacing w:after="240" w:afterAutospacing="0" w:line="255" w:lineRule="atLeast"/>
                          <w:rPr>
                            <w:rFonts w:ascii="Arial" w:eastAsia="Times New Roman" w:hAnsi="Arial" w:cs="Arial"/>
                            <w:sz w:val="27"/>
                            <w:szCs w:val="27"/>
                          </w:rPr>
                        </w:pPr>
                        <w:r>
                          <w:rPr>
                            <w:rFonts w:ascii="Arial" w:hAnsi="Arial" w:cs="Arial"/>
                            <w:sz w:val="21"/>
                            <w:szCs w:val="21"/>
                          </w:rPr>
                          <w:t xml:space="preserve">In den letzten Wochen haben sich viele tolle Projekte, bei denen sich junge Menschen für Demokratie, Vielfalt und Toleranz engagieren, für den buntblick 2018 beworben. Auf der Website </w:t>
                        </w:r>
                        <w:hyperlink r:id="rId8" w:tgtFrame="_blank" w:tooltip="Wetbewerbsbeiträge buntblick 2018" w:history="1">
                          <w:proofErr w:type="spellStart"/>
                          <w:r>
                            <w:rPr>
                              <w:rStyle w:val="Hyperlink"/>
                              <w:rFonts w:ascii="Arial" w:hAnsi="Arial" w:cs="Arial"/>
                              <w:sz w:val="21"/>
                              <w:szCs w:val="21"/>
                            </w:rPr>
                            <w:t>ljr.nrw</w:t>
                          </w:r>
                          <w:proofErr w:type="spellEnd"/>
                          <w:r>
                            <w:rPr>
                              <w:rStyle w:val="Hyperlink"/>
                              <w:rFonts w:ascii="Arial" w:hAnsi="Arial" w:cs="Arial"/>
                              <w:sz w:val="21"/>
                              <w:szCs w:val="21"/>
                            </w:rPr>
                            <w:t>/buntblick</w:t>
                          </w:r>
                        </w:hyperlink>
                        <w:r>
                          <w:rPr>
                            <w:rFonts w:ascii="Arial" w:hAnsi="Arial" w:cs="Arial"/>
                            <w:sz w:val="21"/>
                            <w:szCs w:val="21"/>
                          </w:rPr>
                          <w:t xml:space="preserve"> findet ihr die Beiträge aller </w:t>
                        </w:r>
                        <w:proofErr w:type="spellStart"/>
                        <w:r>
                          <w:rPr>
                            <w:rFonts w:ascii="Arial" w:hAnsi="Arial" w:cs="Arial"/>
                            <w:sz w:val="21"/>
                            <w:szCs w:val="21"/>
                          </w:rPr>
                          <w:t>Teilnehmer_innen</w:t>
                        </w:r>
                        <w:proofErr w:type="spellEnd"/>
                        <w:r>
                          <w:rPr>
                            <w:rFonts w:ascii="Arial" w:hAnsi="Arial" w:cs="Arial"/>
                            <w:sz w:val="21"/>
                            <w:szCs w:val="21"/>
                          </w:rPr>
                          <w:t xml:space="preserve"> und könnt für diese Abstimmen. </w:t>
                        </w:r>
                        <w:r>
                          <w:rPr>
                            <w:rFonts w:ascii="Arial" w:hAnsi="Arial" w:cs="Arial"/>
                            <w:b/>
                            <w:bCs/>
                            <w:sz w:val="21"/>
                            <w:szCs w:val="21"/>
                          </w:rPr>
                          <w:t>Wählt vom 1. - 10. Oktober 2018 euren Favoriten</w:t>
                        </w:r>
                        <w:r>
                          <w:rPr>
                            <w:rFonts w:ascii="Arial" w:hAnsi="Arial" w:cs="Arial"/>
                            <w:sz w:val="21"/>
                            <w:szCs w:val="21"/>
                          </w:rPr>
                          <w:t xml:space="preserve"> und bestimmt dadurch, wer den Publikumspreis gewinnt.</w:t>
                        </w:r>
                        <w:r>
                          <w:rPr>
                            <w:rFonts w:ascii="Arial" w:hAnsi="Arial" w:cs="Arial"/>
                            <w:sz w:val="21"/>
                            <w:szCs w:val="21"/>
                          </w:rPr>
                          <w:br/>
                        </w:r>
                        <w:r>
                          <w:rPr>
                            <w:rFonts w:ascii="Arial" w:hAnsi="Arial" w:cs="Arial"/>
                            <w:b/>
                            <w:bCs/>
                            <w:sz w:val="21"/>
                            <w:szCs w:val="21"/>
                          </w:rPr>
                          <w:lastRenderedPageBreak/>
                          <w:t xml:space="preserve">Hier geht´s zum </w:t>
                        </w:r>
                        <w:hyperlink r:id="rId9" w:tgtFrame="_blank" w:tooltip="Voting ab 1. Oktober 2018 freigeschaltet" w:history="1">
                          <w:r>
                            <w:rPr>
                              <w:rStyle w:val="Hyperlink"/>
                              <w:rFonts w:ascii="Arial" w:hAnsi="Arial" w:cs="Arial"/>
                              <w:b/>
                              <w:bCs/>
                              <w:sz w:val="21"/>
                              <w:szCs w:val="21"/>
                            </w:rPr>
                            <w:t>Online-VOTING für den Publikumspreis</w:t>
                          </w:r>
                        </w:hyperlink>
                        <w:hyperlink r:id="rId10" w:tgtFrame="_blank" w:tooltip="Voting ab 1. Oktober 2018 freigeschaltet" w:history="1">
                          <w:r>
                            <w:rPr>
                              <w:rStyle w:val="Hyperlink"/>
                              <w:rFonts w:ascii="Arial" w:hAnsi="Arial" w:cs="Arial"/>
                              <w:sz w:val="21"/>
                              <w:szCs w:val="21"/>
                            </w:rPr>
                            <w:t xml:space="preserve"> </w:t>
                          </w:r>
                          <w:r>
                            <w:rPr>
                              <w:rStyle w:val="Hyperlink"/>
                              <w:rFonts w:ascii="Arial" w:hAnsi="Arial" w:cs="Arial"/>
                              <w:b/>
                              <w:bCs/>
                              <w:sz w:val="21"/>
                              <w:szCs w:val="21"/>
                            </w:rPr>
                            <w:t>ab 01.10.2018</w:t>
                          </w:r>
                        </w:hyperlink>
                        <w:r>
                          <w:rPr>
                            <w:rFonts w:ascii="Arial" w:hAnsi="Arial" w:cs="Arial"/>
                            <w:sz w:val="21"/>
                            <w:szCs w:val="21"/>
                          </w:rPr>
                          <w:t xml:space="preserve">   </w:t>
                        </w:r>
                        <w:r>
                          <w:rPr>
                            <w:rFonts w:ascii="Arial" w:hAnsi="Arial" w:cs="Arial"/>
                            <w:sz w:val="21"/>
                            <w:szCs w:val="21"/>
                          </w:rPr>
                          <w:br/>
                        </w:r>
                        <w:r>
                          <w:rPr>
                            <w:rFonts w:ascii="Arial" w:eastAsia="Times New Roman" w:hAnsi="Arial" w:cs="Arial"/>
                          </w:rPr>
                          <w:t>Einladung zur Filmvorführung „</w:t>
                        </w:r>
                        <w:proofErr w:type="spellStart"/>
                        <w:r>
                          <w:rPr>
                            <w:rFonts w:ascii="Arial" w:eastAsia="Times New Roman" w:hAnsi="Arial" w:cs="Arial"/>
                          </w:rPr>
                          <w:t>Iuventa</w:t>
                        </w:r>
                        <w:proofErr w:type="spellEnd"/>
                        <w:r>
                          <w:rPr>
                            <w:rFonts w:ascii="Arial" w:eastAsia="Times New Roman" w:hAnsi="Arial" w:cs="Arial"/>
                          </w:rPr>
                          <w:t>. Seenotrettung – ein Akt der Menschlichkeit.“</w:t>
                        </w:r>
                      </w:p>
                      <w:p w:rsidR="0073217F" w:rsidRDefault="0073217F">
                        <w:pPr>
                          <w:pStyle w:val="StandardWeb"/>
                          <w:spacing w:line="255" w:lineRule="atLeast"/>
                          <w:rPr>
                            <w:rFonts w:ascii="Arial" w:hAnsi="Arial" w:cs="Arial"/>
                            <w:sz w:val="21"/>
                            <w:szCs w:val="21"/>
                          </w:rPr>
                        </w:pPr>
                        <w:r>
                          <w:rPr>
                            <w:rFonts w:ascii="Arial" w:hAnsi="Arial" w:cs="Arial"/>
                            <w:sz w:val="21"/>
                            <w:szCs w:val="21"/>
                          </w:rPr>
                          <w:t>Mit einem zum Seenotrettungsschiff umgebauten Fischkutter namens „</w:t>
                        </w:r>
                        <w:proofErr w:type="spellStart"/>
                        <w:r>
                          <w:rPr>
                            <w:rFonts w:ascii="Arial" w:hAnsi="Arial" w:cs="Arial"/>
                            <w:sz w:val="21"/>
                            <w:szCs w:val="21"/>
                          </w:rPr>
                          <w:t>Iuventa</w:t>
                        </w:r>
                        <w:proofErr w:type="spellEnd"/>
                        <w:r>
                          <w:rPr>
                            <w:rFonts w:ascii="Arial" w:hAnsi="Arial" w:cs="Arial"/>
                            <w:sz w:val="21"/>
                            <w:szCs w:val="21"/>
                          </w:rPr>
                          <w:t xml:space="preserve">“ begann die Mission der Initiative JUGEND RETTET – einem humanitären Seenotrettungsprojekt. Regisseur Michele </w:t>
                        </w:r>
                        <w:proofErr w:type="spellStart"/>
                        <w:r>
                          <w:rPr>
                            <w:rFonts w:ascii="Arial" w:hAnsi="Arial" w:cs="Arial"/>
                            <w:sz w:val="21"/>
                            <w:szCs w:val="21"/>
                          </w:rPr>
                          <w:t>Cinque</w:t>
                        </w:r>
                        <w:proofErr w:type="spellEnd"/>
                        <w:r>
                          <w:rPr>
                            <w:rFonts w:ascii="Arial" w:hAnsi="Arial" w:cs="Arial"/>
                            <w:sz w:val="21"/>
                            <w:szCs w:val="21"/>
                          </w:rPr>
                          <w:t xml:space="preserve"> hat das engagierte Team mehr als ein Jahr filmisch begleitet. Entstanden ist ein außergewöhnlicher Dokumentarfilm, der nun auf </w:t>
                        </w:r>
                        <w:proofErr w:type="spellStart"/>
                        <w:r>
                          <w:rPr>
                            <w:rFonts w:ascii="Arial" w:hAnsi="Arial" w:cs="Arial"/>
                            <w:sz w:val="21"/>
                            <w:szCs w:val="21"/>
                          </w:rPr>
                          <w:t>Kinotour</w:t>
                        </w:r>
                        <w:proofErr w:type="spellEnd"/>
                        <w:r>
                          <w:rPr>
                            <w:rFonts w:ascii="Arial" w:hAnsi="Arial" w:cs="Arial"/>
                            <w:sz w:val="21"/>
                            <w:szCs w:val="21"/>
                          </w:rPr>
                          <w:t xml:space="preserve"> geht.</w:t>
                        </w:r>
                        <w:r>
                          <w:rPr>
                            <w:rFonts w:ascii="Arial" w:hAnsi="Arial" w:cs="Arial"/>
                            <w:sz w:val="21"/>
                            <w:szCs w:val="21"/>
                          </w:rPr>
                          <w:br/>
                          <w:t xml:space="preserve">Der Landesjugendring NRW zeigt den Film im Rahmen des Projekts „Jugendverbandsarbeit mit jungen Geflüchteten“ am </w:t>
                        </w:r>
                        <w:r>
                          <w:rPr>
                            <w:rFonts w:ascii="Arial" w:hAnsi="Arial" w:cs="Arial"/>
                            <w:b/>
                            <w:bCs/>
                            <w:sz w:val="21"/>
                            <w:szCs w:val="21"/>
                          </w:rPr>
                          <w:t>11. Oktober 2018 um 19:00 Uhr</w:t>
                        </w:r>
                        <w:r>
                          <w:rPr>
                            <w:rFonts w:ascii="Arial" w:hAnsi="Arial" w:cs="Arial"/>
                            <w:sz w:val="21"/>
                            <w:szCs w:val="21"/>
                          </w:rPr>
                          <w:t xml:space="preserve"> in der Schauburg in Dortmund.</w:t>
                        </w:r>
                        <w:r>
                          <w:rPr>
                            <w:rFonts w:ascii="Arial" w:hAnsi="Arial" w:cs="Arial"/>
                            <w:sz w:val="21"/>
                            <w:szCs w:val="21"/>
                          </w:rPr>
                          <w:br/>
                          <w:t xml:space="preserve">Die Teilnahme ist für unsere Mitgliedsverbände sowie Stadt- und Kreisjugendringe kostenlos. Zur besseren Planung bitten wir im Vorhinein um eine </w:t>
                        </w:r>
                        <w:r>
                          <w:rPr>
                            <w:rFonts w:ascii="Arial" w:hAnsi="Arial" w:cs="Arial"/>
                            <w:b/>
                            <w:bCs/>
                            <w:sz w:val="21"/>
                            <w:szCs w:val="21"/>
                          </w:rPr>
                          <w:t>Anmeldung bis zum 8. Oktober 2018</w:t>
                        </w:r>
                        <w:r>
                          <w:rPr>
                            <w:rFonts w:ascii="Arial" w:hAnsi="Arial" w:cs="Arial"/>
                            <w:sz w:val="21"/>
                            <w:szCs w:val="21"/>
                          </w:rPr>
                          <w:t xml:space="preserve">: </w:t>
                        </w:r>
                        <w:hyperlink r:id="rId11" w:tgtFrame="_blank" w:tooltip="Filmvorführung Iuventa" w:history="1">
                          <w:proofErr w:type="spellStart"/>
                          <w:r>
                            <w:rPr>
                              <w:rStyle w:val="Hyperlink"/>
                              <w:rFonts w:ascii="Arial" w:hAnsi="Arial" w:cs="Arial"/>
                              <w:sz w:val="21"/>
                              <w:szCs w:val="21"/>
                            </w:rPr>
                            <w:t>ljr.nrw</w:t>
                          </w:r>
                          <w:proofErr w:type="spellEnd"/>
                          <w:r>
                            <w:rPr>
                              <w:rStyle w:val="Hyperlink"/>
                              <w:rFonts w:ascii="Arial" w:hAnsi="Arial" w:cs="Arial"/>
                              <w:sz w:val="21"/>
                              <w:szCs w:val="21"/>
                            </w:rPr>
                            <w:t>/</w:t>
                          </w:r>
                          <w:proofErr w:type="spellStart"/>
                          <w:r>
                            <w:rPr>
                              <w:rStyle w:val="Hyperlink"/>
                              <w:rFonts w:ascii="Arial" w:hAnsi="Arial" w:cs="Arial"/>
                              <w:sz w:val="21"/>
                              <w:szCs w:val="21"/>
                            </w:rPr>
                            <w:t>iuventa</w:t>
                          </w:r>
                          <w:proofErr w:type="spellEnd"/>
                          <w:r>
                            <w:rPr>
                              <w:rStyle w:val="Hyperlink"/>
                              <w:rFonts w:ascii="Arial" w:hAnsi="Arial" w:cs="Arial"/>
                              <w:sz w:val="21"/>
                              <w:szCs w:val="21"/>
                            </w:rPr>
                            <w:t>-anmeldung</w:t>
                          </w:r>
                        </w:hyperlink>
                        <w:r>
                          <w:rPr>
                            <w:rFonts w:ascii="Arial" w:hAnsi="Arial" w:cs="Arial"/>
                            <w:sz w:val="21"/>
                            <w:szCs w:val="21"/>
                          </w:rPr>
                          <w:t xml:space="preserve"> </w:t>
                        </w:r>
                        <w:r>
                          <w:rPr>
                            <w:rFonts w:ascii="Arial" w:hAnsi="Arial" w:cs="Arial"/>
                            <w:sz w:val="21"/>
                            <w:szCs w:val="21"/>
                          </w:rPr>
                          <w:br/>
                        </w:r>
                        <w:r>
                          <w:rPr>
                            <w:rFonts w:ascii="Arial" w:hAnsi="Arial" w:cs="Arial"/>
                            <w:b/>
                            <w:bCs/>
                            <w:sz w:val="21"/>
                            <w:szCs w:val="21"/>
                          </w:rPr>
                          <w:t xml:space="preserve">Bei Rückfragen könnt ihr euch gern an </w:t>
                        </w:r>
                        <w:hyperlink r:id="rId12" w:tooltip="E-Mail senden" w:history="1">
                          <w:r>
                            <w:rPr>
                              <w:rStyle w:val="Hyperlink"/>
                              <w:rFonts w:ascii="Arial" w:hAnsi="Arial" w:cs="Arial"/>
                              <w:b/>
                              <w:bCs/>
                              <w:sz w:val="21"/>
                              <w:szCs w:val="21"/>
                            </w:rPr>
                            <w:t>Lina Najib</w:t>
                          </w:r>
                        </w:hyperlink>
                        <w:r>
                          <w:rPr>
                            <w:rFonts w:ascii="Arial" w:hAnsi="Arial" w:cs="Arial"/>
                            <w:b/>
                            <w:bCs/>
                            <w:sz w:val="21"/>
                            <w:szCs w:val="21"/>
                          </w:rPr>
                          <w:t xml:space="preserve"> wenden.</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gridAfter w:val="1"/>
                      <w:wAfter w:w="150" w:type="dxa"/>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73217F">
                    <w:trPr>
                      <w:gridAfter w:val="1"/>
                      <w:wAfter w:w="150" w:type="dxa"/>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NRW: Vorgezogene Antragsaufforderung für Gedenkstättenfahrten, Projekte der internationalen Jugendarbeit in 2019</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 xml:space="preserve">Das Ministerium für Kinder, Familie, Flüchtlinge und Integration des Landes NRW ruft zur vorgezogenen Antragstellung für Projekte der Förderposition 2.2 (nur Gedenkstättenfahrten) und 5.2 (internationale Jugendarbeit) des KJFP NRW 2019 auf, die bis zum 30. Juni 2019 realisiert werden sollen. </w:t>
                        </w:r>
                        <w:r>
                          <w:rPr>
                            <w:rFonts w:ascii="Arial" w:hAnsi="Arial" w:cs="Arial"/>
                            <w:sz w:val="21"/>
                            <w:szCs w:val="21"/>
                          </w:rPr>
                          <w:br/>
                        </w:r>
                        <w:r>
                          <w:rPr>
                            <w:rFonts w:ascii="Arial" w:hAnsi="Arial" w:cs="Arial"/>
                            <w:b/>
                            <w:bCs/>
                            <w:sz w:val="21"/>
                            <w:szCs w:val="21"/>
                          </w:rPr>
                          <w:t>Anträge können bis zum 15. Oktober 2018 gestellt werden.</w:t>
                        </w:r>
                        <w:r>
                          <w:rPr>
                            <w:rFonts w:ascii="Arial" w:hAnsi="Arial" w:cs="Arial"/>
                            <w:sz w:val="21"/>
                            <w:szCs w:val="21"/>
                          </w:rPr>
                          <w:br/>
                        </w:r>
                        <w:r>
                          <w:rPr>
                            <w:rFonts w:ascii="Arial" w:hAnsi="Arial" w:cs="Arial"/>
                            <w:b/>
                            <w:bCs/>
                            <w:sz w:val="21"/>
                            <w:szCs w:val="21"/>
                          </w:rPr>
                          <w:t>Weitere Informationen unter:</w:t>
                        </w:r>
                        <w:r>
                          <w:rPr>
                            <w:rFonts w:ascii="Arial" w:hAnsi="Arial" w:cs="Arial"/>
                            <w:sz w:val="21"/>
                            <w:szCs w:val="21"/>
                          </w:rPr>
                          <w:t xml:space="preserve"> </w:t>
                        </w:r>
                        <w:hyperlink r:id="rId13" w:tgtFrame="_blank" w:tooltip="LVR" w:history="1">
                          <w:r>
                            <w:rPr>
                              <w:rStyle w:val="Hyperlink"/>
                              <w:rFonts w:ascii="Arial" w:hAnsi="Arial" w:cs="Arial"/>
                              <w:sz w:val="21"/>
                              <w:szCs w:val="21"/>
                            </w:rPr>
                            <w:t>www.lvr.de</w:t>
                          </w:r>
                        </w:hyperlink>
                        <w:r>
                          <w:rPr>
                            <w:rFonts w:ascii="Arial" w:hAnsi="Arial" w:cs="Arial"/>
                            <w:sz w:val="21"/>
                            <w:szCs w:val="21"/>
                          </w:rPr>
                          <w:t xml:space="preserve"> oder </w:t>
                        </w:r>
                        <w:hyperlink r:id="rId14" w:tgtFrame="_blank" w:tooltip="LWL" w:history="1">
                          <w:r>
                            <w:rPr>
                              <w:rStyle w:val="Hyperlink"/>
                              <w:rFonts w:ascii="Arial" w:hAnsi="Arial" w:cs="Arial"/>
                              <w:sz w:val="21"/>
                              <w:szCs w:val="21"/>
                            </w:rPr>
                            <w:t>www.lwl.org/kjp</w:t>
                          </w:r>
                        </w:hyperlink>
                        <w:r>
                          <w:rPr>
                            <w:rFonts w:ascii="Arial" w:hAnsi="Arial" w:cs="Arial"/>
                            <w:sz w:val="21"/>
                            <w:szCs w:val="21"/>
                          </w:rPr>
                          <w:t xml:space="preserve">     </w:t>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Der Bus kommt! Die Ehrenamtstour NRW geht weiter</w:t>
                        </w:r>
                      </w:p>
                      <w:p w:rsidR="0073217F" w:rsidRDefault="0073217F">
                        <w:pPr>
                          <w:pStyle w:val="StandardWeb"/>
                          <w:spacing w:line="255" w:lineRule="atLeast"/>
                          <w:rPr>
                            <w:rFonts w:ascii="Arial" w:hAnsi="Arial" w:cs="Arial"/>
                            <w:sz w:val="21"/>
                            <w:szCs w:val="21"/>
                          </w:rPr>
                        </w:pPr>
                        <w:r>
                          <w:rPr>
                            <w:rFonts w:ascii="Arial" w:hAnsi="Arial" w:cs="Arial"/>
                            <w:sz w:val="21"/>
                            <w:szCs w:val="21"/>
                          </w:rPr>
                          <w:t xml:space="preserve">Derzeit wird für das Land NRW eine </w:t>
                        </w:r>
                        <w:proofErr w:type="spellStart"/>
                        <w:r>
                          <w:rPr>
                            <w:rFonts w:ascii="Arial" w:hAnsi="Arial" w:cs="Arial"/>
                            <w:sz w:val="21"/>
                            <w:szCs w:val="21"/>
                          </w:rPr>
                          <w:t>Engagementstrategie</w:t>
                        </w:r>
                        <w:proofErr w:type="spellEnd"/>
                        <w:r>
                          <w:rPr>
                            <w:rFonts w:ascii="Arial" w:hAnsi="Arial" w:cs="Arial"/>
                            <w:sz w:val="21"/>
                            <w:szCs w:val="21"/>
                          </w:rPr>
                          <w:t xml:space="preserve"> entwickelt. Baustein der Entwicklungsphase ist ein Bus, der bis zum nächsten Sommer alle 54 Kreise und die kreisfreien Städte in Nordrhein-Westfalen ansteuern wird. Ehrenamtlich Engagierte erhalten hier die Gelegenheit, Anregungen und Hinweise zur Verbesserung der Rahmenbedingungen für ihre ehrenamtliche Tätigkeit zu geben. </w:t>
                        </w:r>
                        <w:proofErr w:type="gramStart"/>
                        <w:r>
                          <w:rPr>
                            <w:rFonts w:ascii="Arial" w:hAnsi="Arial" w:cs="Arial"/>
                            <w:sz w:val="21"/>
                            <w:szCs w:val="21"/>
                          </w:rPr>
                          <w:t xml:space="preserve">Damit jugendliches Ehrenamt dort auch richtig zur Geltung kommt und die Bedürfnisse in der Jugendverbandsarbeit an vielen Stellen und von vielen jungen Menschen formuliert werden, möchten wir euch und all eure ehrenamtlich Tätigen dazu aufrufen, beim nächsten Termin den Bus in eurer Gegend anzusteuern und euch dort zu positionieren – je öfter bestimmte Meinungen und Forderungen auftauchen, desto mehr Gewicht werden sie bekommen, denn die in diesem Rahmen gewonnenen Erkenntnisse und Anregungen werden in die Erarbeitung der </w:t>
                        </w:r>
                        <w:proofErr w:type="spellStart"/>
                        <w:r>
                          <w:rPr>
                            <w:rFonts w:ascii="Arial" w:hAnsi="Arial" w:cs="Arial"/>
                            <w:sz w:val="21"/>
                            <w:szCs w:val="21"/>
                          </w:rPr>
                          <w:t>Engagementstrategie</w:t>
                        </w:r>
                        <w:proofErr w:type="spellEnd"/>
                        <w:r>
                          <w:rPr>
                            <w:rFonts w:ascii="Arial" w:hAnsi="Arial" w:cs="Arial"/>
                            <w:sz w:val="21"/>
                            <w:szCs w:val="21"/>
                          </w:rPr>
                          <w:t xml:space="preserve"> einfließen.</w:t>
                        </w:r>
                        <w:proofErr w:type="gramEnd"/>
                        <w:r>
                          <w:rPr>
                            <w:rFonts w:ascii="Arial" w:hAnsi="Arial" w:cs="Arial"/>
                            <w:sz w:val="21"/>
                            <w:szCs w:val="21"/>
                          </w:rPr>
                          <w:t xml:space="preserve"> Macht euch stark für euer Ehrenamt! </w:t>
                        </w:r>
                        <w:r>
                          <w:rPr>
                            <w:rFonts w:ascii="Arial" w:hAnsi="Arial" w:cs="Arial"/>
                            <w:sz w:val="21"/>
                            <w:szCs w:val="21"/>
                          </w:rPr>
                          <w:br/>
                        </w:r>
                        <w:r>
                          <w:rPr>
                            <w:rFonts w:ascii="Arial" w:hAnsi="Arial" w:cs="Arial"/>
                            <w:b/>
                            <w:bCs/>
                            <w:sz w:val="21"/>
                            <w:szCs w:val="21"/>
                          </w:rPr>
                          <w:t>Die Stationen im Oktober sind:</w:t>
                        </w:r>
                        <w:r>
                          <w:rPr>
                            <w:rFonts w:ascii="Arial" w:hAnsi="Arial" w:cs="Arial"/>
                            <w:sz w:val="21"/>
                            <w:szCs w:val="21"/>
                          </w:rPr>
                          <w:br/>
                          <w:t>12. - 13. Oktober 2018: Soest, Hattingen, Hagen, Schwelm</w:t>
                        </w:r>
                        <w:r>
                          <w:rPr>
                            <w:rFonts w:ascii="Arial" w:hAnsi="Arial" w:cs="Arial"/>
                            <w:sz w:val="21"/>
                            <w:szCs w:val="21"/>
                          </w:rPr>
                          <w:br/>
                          <w:t>20. Oktober 2018: Winterberg</w:t>
                        </w:r>
                        <w:r>
                          <w:rPr>
                            <w:rFonts w:ascii="Arial" w:hAnsi="Arial" w:cs="Arial"/>
                            <w:sz w:val="21"/>
                            <w:szCs w:val="21"/>
                          </w:rPr>
                          <w:br/>
                          <w:t xml:space="preserve">26. - 27. Oktober 2018: Herne, Wanne, Gummersbach, </w:t>
                        </w:r>
                        <w:proofErr w:type="spellStart"/>
                        <w:r>
                          <w:rPr>
                            <w:rFonts w:ascii="Arial" w:hAnsi="Arial" w:cs="Arial"/>
                            <w:sz w:val="21"/>
                            <w:szCs w:val="21"/>
                          </w:rPr>
                          <w:t>Morsbach</w:t>
                        </w:r>
                        <w:proofErr w:type="spellEnd"/>
                        <w:r>
                          <w:rPr>
                            <w:rFonts w:ascii="Arial" w:hAnsi="Arial" w:cs="Arial"/>
                            <w:sz w:val="21"/>
                            <w:szCs w:val="21"/>
                          </w:rPr>
                          <w:br/>
                        </w:r>
                        <w:r>
                          <w:rPr>
                            <w:rFonts w:ascii="Arial" w:hAnsi="Arial" w:cs="Arial"/>
                            <w:b/>
                            <w:bCs/>
                            <w:sz w:val="21"/>
                            <w:szCs w:val="21"/>
                          </w:rPr>
                          <w:t xml:space="preserve">Weitere Informationen </w:t>
                        </w:r>
                        <w:hyperlink r:id="rId15" w:tgtFrame="_blank" w:tooltip="Ehrenamtstour"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gridAfter w:val="1"/>
                      <w:wAfter w:w="150" w:type="dxa"/>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73217F">
                    <w:trPr>
                      <w:gridAfter w:val="1"/>
                      <w:wAfter w:w="150" w:type="dxa"/>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„Zeitreisende“ entdecken Berufe im Wandel – Wettbewerb</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 xml:space="preserve">Das Wissenschaftsjahr 2018 – Arbeitswelten der Zukunft lädt Jugendliche zwischen 12 und 18 Jahren auf eine Zeitreise durch die Berufe im Wandel ein. Im bundesweiten Wettbewerb werden kreativ aufbereitete Interviewbeiträge gesucht, die den Wandel von dualen Ausbildungsberufen </w:t>
                        </w:r>
                        <w:r>
                          <w:rPr>
                            <w:rFonts w:ascii="Arial" w:hAnsi="Arial" w:cs="Arial"/>
                            <w:sz w:val="21"/>
                            <w:szCs w:val="21"/>
                          </w:rPr>
                          <w:lastRenderedPageBreak/>
                          <w:t xml:space="preserve">zeigen. Ob Film, Audiobeitrag, Präsentation, eingescannte Fotocollage oder ein anderes digitales Format: Kreativität gewinnt! </w:t>
                        </w:r>
                        <w:r>
                          <w:rPr>
                            <w:rFonts w:ascii="Arial" w:hAnsi="Arial" w:cs="Arial"/>
                            <w:sz w:val="21"/>
                            <w:szCs w:val="21"/>
                          </w:rPr>
                          <w:br/>
                        </w:r>
                        <w:r>
                          <w:rPr>
                            <w:rFonts w:ascii="Arial" w:hAnsi="Arial" w:cs="Arial"/>
                            <w:b/>
                            <w:bCs/>
                            <w:sz w:val="21"/>
                            <w:szCs w:val="21"/>
                          </w:rPr>
                          <w:t>Einsendeschluss ist der 2. November 2018.</w:t>
                        </w:r>
                        <w:r>
                          <w:rPr>
                            <w:rFonts w:ascii="Arial" w:hAnsi="Arial" w:cs="Arial"/>
                            <w:sz w:val="21"/>
                            <w:szCs w:val="21"/>
                          </w:rPr>
                          <w:br/>
                        </w:r>
                        <w:r>
                          <w:rPr>
                            <w:rFonts w:ascii="Arial" w:hAnsi="Arial" w:cs="Arial"/>
                            <w:b/>
                            <w:bCs/>
                            <w:sz w:val="21"/>
                            <w:szCs w:val="21"/>
                          </w:rPr>
                          <w:t xml:space="preserve">Weitere Informationen </w:t>
                        </w:r>
                        <w:hyperlink r:id="rId16" w:tgtFrame="_blank" w:tooltip="Bundesweiter Wettbewerb"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Der Jugend eine Chance! Fonds Soziokultur schreibt Fördermittel für junge Kulturinitiativen aus</w:t>
                        </w:r>
                      </w:p>
                      <w:p w:rsidR="0073217F" w:rsidRDefault="0073217F">
                        <w:pPr>
                          <w:pStyle w:val="StandardWeb"/>
                          <w:spacing w:line="255" w:lineRule="atLeast"/>
                          <w:rPr>
                            <w:rFonts w:ascii="Arial" w:hAnsi="Arial" w:cs="Arial"/>
                            <w:sz w:val="21"/>
                            <w:szCs w:val="21"/>
                          </w:rPr>
                        </w:pPr>
                        <w:r>
                          <w:rPr>
                            <w:rFonts w:ascii="Arial" w:hAnsi="Arial" w:cs="Arial"/>
                            <w:sz w:val="21"/>
                            <w:szCs w:val="21"/>
                          </w:rPr>
                          <w:t xml:space="preserve">Junge Menschen im Alter zwischen 18 und 25 Jahren, die sich zu einer Initiative zusammengeschlossen haben, können Fördermittel beantragen. Aus dem Antrag muss dabei erkennbar werden, dass das Projekt in eigener Verantwortung der Jugendlichen geplant und realisiert werden soll. Unterstützt werden kleine, experimentierfreudige Kulturprojekte mit einem konkreten Themenbezug und mit einer zeitlichen Begrenzung. Ob ein Videoprojekt, ein </w:t>
                        </w:r>
                        <w:proofErr w:type="spellStart"/>
                        <w:r>
                          <w:rPr>
                            <w:rFonts w:ascii="Arial" w:hAnsi="Arial" w:cs="Arial"/>
                            <w:sz w:val="21"/>
                            <w:szCs w:val="21"/>
                          </w:rPr>
                          <w:t>HipHop</w:t>
                        </w:r>
                        <w:proofErr w:type="spellEnd"/>
                        <w:r>
                          <w:rPr>
                            <w:rFonts w:ascii="Arial" w:hAnsi="Arial" w:cs="Arial"/>
                            <w:sz w:val="21"/>
                            <w:szCs w:val="21"/>
                          </w:rPr>
                          <w:t>-Event, eine Fotoausstellung oder eine Projekt von Jugendlichen mit Medienkünstlern … der Fantasie sind keine Grenzen gesetzt. Die Fördermittel des Fonds sind auf 2.000 Euro pro Vorhaben begrenzt und sollten 70 % der Gesamtkosten/-finanzierung nicht übersteigen. Die Projekte dürfen (inkl. Vorbereitungszeit) nicht vor Ende Januar 2019 beginnen.</w:t>
                        </w:r>
                        <w:r>
                          <w:rPr>
                            <w:rFonts w:ascii="Arial" w:hAnsi="Arial" w:cs="Arial"/>
                            <w:sz w:val="21"/>
                            <w:szCs w:val="21"/>
                          </w:rPr>
                          <w:br/>
                        </w:r>
                        <w:r>
                          <w:rPr>
                            <w:rFonts w:ascii="Arial" w:hAnsi="Arial" w:cs="Arial"/>
                            <w:b/>
                            <w:bCs/>
                            <w:sz w:val="21"/>
                            <w:szCs w:val="21"/>
                          </w:rPr>
                          <w:t>Einsendeschluss für dieses zusätzliche Förderprogramm ist der 2. November 2018.</w:t>
                        </w:r>
                        <w:r>
                          <w:rPr>
                            <w:rFonts w:ascii="Arial" w:hAnsi="Arial" w:cs="Arial"/>
                            <w:sz w:val="21"/>
                            <w:szCs w:val="21"/>
                          </w:rPr>
                          <w:br/>
                        </w:r>
                        <w:r>
                          <w:rPr>
                            <w:rFonts w:ascii="Arial" w:hAnsi="Arial" w:cs="Arial"/>
                            <w:b/>
                            <w:bCs/>
                            <w:sz w:val="21"/>
                            <w:szCs w:val="21"/>
                          </w:rPr>
                          <w:t xml:space="preserve">Weitere Informationen </w:t>
                        </w:r>
                        <w:hyperlink r:id="rId17" w:tgtFrame="_blank" w:tooltip="Förderprogramm" w:history="1">
                          <w:r>
                            <w:rPr>
                              <w:rStyle w:val="Hyperlink"/>
                              <w:rFonts w:ascii="Arial" w:hAnsi="Arial" w:cs="Arial"/>
                              <w:b/>
                              <w:bCs/>
                              <w:sz w:val="21"/>
                              <w:szCs w:val="21"/>
                            </w:rPr>
                            <w:t>hier</w:t>
                          </w:r>
                        </w:hyperlink>
                        <w:hyperlink r:id="rId18" w:tgtFrame="_blank" w:tooltip="Förderprogramm" w:history="1">
                          <w:r>
                            <w:rPr>
                              <w:rStyle w:val="Hyperlink"/>
                              <w:rFonts w:ascii="Arial" w:hAnsi="Arial" w:cs="Arial"/>
                              <w:sz w:val="21"/>
                              <w:szCs w:val="21"/>
                            </w:rPr>
                            <w:t> </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gridAfter w:val="1"/>
                      <w:wAfter w:w="150" w:type="dxa"/>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Termine</w:t>
                        </w:r>
                      </w:p>
                    </w:tc>
                  </w:tr>
                  <w:tr w:rsidR="0073217F">
                    <w:trPr>
                      <w:gridAfter w:val="1"/>
                      <w:wAfter w:w="150" w:type="dxa"/>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 xml:space="preserve">Vernetzung, Vielfalt und Feminismus - BARCAMP GENDER GERECHTIGKEIT NRW 2018 </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 xml:space="preserve">Das </w:t>
                        </w:r>
                        <w:proofErr w:type="spellStart"/>
                        <w:r>
                          <w:rPr>
                            <w:rFonts w:ascii="Arial" w:hAnsi="Arial" w:cs="Arial"/>
                            <w:sz w:val="21"/>
                            <w:szCs w:val="21"/>
                          </w:rPr>
                          <w:t>Barcamp</w:t>
                        </w:r>
                        <w:proofErr w:type="spellEnd"/>
                        <w:r>
                          <w:rPr>
                            <w:rFonts w:ascii="Arial" w:hAnsi="Arial" w:cs="Arial"/>
                            <w:sz w:val="21"/>
                            <w:szCs w:val="21"/>
                          </w:rPr>
                          <w:t xml:space="preserve"> wird von der Friedrich-Ebert-Stiftung zusammen mit dem Gender Netzwerk NRW und der VHS Köln angeboten. Viele kleine Workshops bilden den Rahmen für eine kreative Atmosphäre, progressive Ideen und Vernetzungsmöglichkeiten. Die Teilnahme ist kostenlos.</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6. Oktober 2018, Köln </w:t>
                        </w:r>
                        <w:r>
                          <w:rPr>
                            <w:rFonts w:ascii="Arial" w:hAnsi="Arial" w:cs="Arial"/>
                            <w:sz w:val="21"/>
                            <w:szCs w:val="21"/>
                          </w:rPr>
                          <w:br/>
                        </w:r>
                        <w:r>
                          <w:rPr>
                            <w:rFonts w:ascii="Arial" w:hAnsi="Arial" w:cs="Arial"/>
                            <w:b/>
                            <w:bCs/>
                            <w:sz w:val="21"/>
                            <w:szCs w:val="21"/>
                          </w:rPr>
                          <w:t xml:space="preserve">Weitere Informationen </w:t>
                        </w:r>
                        <w:hyperlink r:id="rId19" w:tgtFrame="_blank" w:tooltip="Barcamp" w:history="1">
                          <w:r>
                            <w:rPr>
                              <w:rStyle w:val="Hyperlink"/>
                              <w:rFonts w:ascii="Arial" w:hAnsi="Arial" w:cs="Arial"/>
                              <w:b/>
                              <w:bCs/>
                              <w:sz w:val="21"/>
                              <w:szCs w:val="21"/>
                            </w:rPr>
                            <w:t>hier</w:t>
                          </w:r>
                        </w:hyperlink>
                        <w:r>
                          <w:rPr>
                            <w:rFonts w:ascii="Arial" w:hAnsi="Arial" w:cs="Arial"/>
                            <w:sz w:val="21"/>
                            <w:szCs w:val="21"/>
                          </w:rPr>
                          <w:t xml:space="preserve">   </w:t>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Der Anti-Bias-Ansatz</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Die Fortbildung der FUMA Fachstelle Gender &amp; Diversität NRW richtet sich an alle Fachkräfte aus schulischer und außerschulischer Arbeit. Ziel der Fortbildung zur „Vorurteilsreflektierten Pädagogik“ ist es, die Teilnehmenden für Vorurteile zu sensibilisieren und eine stärkere Wahrnehmung für Ungerechtigkeiten zu entwickeln.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10. - 11. Oktober 2018, Essen</w:t>
                        </w:r>
                        <w:r>
                          <w:rPr>
                            <w:rFonts w:ascii="Arial" w:hAnsi="Arial" w:cs="Arial"/>
                            <w:sz w:val="21"/>
                            <w:szCs w:val="21"/>
                          </w:rPr>
                          <w:br/>
                        </w:r>
                        <w:r>
                          <w:rPr>
                            <w:rFonts w:ascii="Arial" w:hAnsi="Arial" w:cs="Arial"/>
                            <w:b/>
                            <w:bCs/>
                            <w:sz w:val="21"/>
                            <w:szCs w:val="21"/>
                          </w:rPr>
                          <w:t xml:space="preserve">Weitere Informationen </w:t>
                        </w:r>
                        <w:hyperlink r:id="rId20" w:tgtFrame="_blank" w:tooltip="Fortbildung" w:history="1">
                          <w:r>
                            <w:rPr>
                              <w:rStyle w:val="Hyperlink"/>
                              <w:rFonts w:ascii="Arial" w:hAnsi="Arial" w:cs="Arial"/>
                              <w:b/>
                              <w:bCs/>
                              <w:sz w:val="21"/>
                              <w:szCs w:val="21"/>
                            </w:rPr>
                            <w:t>hier</w:t>
                          </w:r>
                        </w:hyperlink>
                        <w:r>
                          <w:rPr>
                            <w:rFonts w:ascii="Arial" w:hAnsi="Arial" w:cs="Arial"/>
                            <w:b/>
                            <w:bCs/>
                            <w:sz w:val="21"/>
                            <w:szCs w:val="21"/>
                          </w:rPr>
                          <w:t xml:space="preserve">    </w:t>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 xml:space="preserve">Zertifikatskurs </w:t>
                        </w:r>
                        <w:proofErr w:type="spellStart"/>
                        <w:r>
                          <w:rPr>
                            <w:rFonts w:ascii="Arial" w:eastAsia="Times New Roman" w:hAnsi="Arial" w:cs="Arial"/>
                          </w:rPr>
                          <w:t>Medienberater_in</w:t>
                        </w:r>
                        <w:proofErr w:type="spellEnd"/>
                        <w:r>
                          <w:rPr>
                            <w:rFonts w:ascii="Arial" w:eastAsia="Times New Roman" w:hAnsi="Arial" w:cs="Arial"/>
                          </w:rPr>
                          <w:t xml:space="preserve"> in der Kinder-, Jugend- und Familienhilfe</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 xml:space="preserve">Der Zertifikatskurs der </w:t>
                        </w:r>
                        <w:proofErr w:type="spellStart"/>
                        <w:r>
                          <w:rPr>
                            <w:rFonts w:ascii="Arial" w:hAnsi="Arial" w:cs="Arial"/>
                            <w:sz w:val="21"/>
                            <w:szCs w:val="21"/>
                          </w:rPr>
                          <w:t>fachpool</w:t>
                        </w:r>
                        <w:proofErr w:type="spellEnd"/>
                        <w:r>
                          <w:rPr>
                            <w:rFonts w:ascii="Arial" w:hAnsi="Arial" w:cs="Arial"/>
                            <w:sz w:val="21"/>
                            <w:szCs w:val="21"/>
                          </w:rPr>
                          <w:t xml:space="preserve"> gGmbH macht pädagogische Fachkräfte mit den Medienwelten von Kindern und Jugendlichen vertraut, skizziert die aktuellen Chancen und Risiken des Medienumgangs und führt praxisnah in die medienpädagogischen und medienerzieherischen Konzepte ein, mit denen Heranwachsende beim Erwerb von Kompetenzen für eine kritisch-reflexive Mediennutzung unterstützt und Erziehende für eine angemessene Begleitung des Medienumgangs ihrer Schützlinge stark gemacht werden können.</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12. Oktober 2018 - 19. Januar 2019, Herne</w:t>
                        </w:r>
                        <w:r>
                          <w:rPr>
                            <w:rFonts w:ascii="Arial" w:hAnsi="Arial" w:cs="Arial"/>
                            <w:sz w:val="21"/>
                            <w:szCs w:val="21"/>
                          </w:rPr>
                          <w:br/>
                        </w:r>
                        <w:r>
                          <w:rPr>
                            <w:rFonts w:ascii="Arial" w:hAnsi="Arial" w:cs="Arial"/>
                            <w:b/>
                            <w:bCs/>
                            <w:sz w:val="21"/>
                            <w:szCs w:val="21"/>
                          </w:rPr>
                          <w:t xml:space="preserve">Weitere Informationen </w:t>
                        </w:r>
                        <w:hyperlink r:id="rId21" w:tgtFrame="_blank" w:tooltip="Zertifikatskurs"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lastRenderedPageBreak/>
                          <w:t xml:space="preserve">Digital Abgehängt? –Benachteiligte Jugendliche und Fachkräfte der Jugendsozialarbeit im Spannungsfeld alter Probleme und neuer Herausforderungen </w:t>
                        </w:r>
                      </w:p>
                      <w:p w:rsidR="0073217F" w:rsidRPr="0073217F" w:rsidRDefault="0073217F" w:rsidP="0073217F">
                        <w:pPr>
                          <w:pStyle w:val="StandardWeb"/>
                          <w:spacing w:line="255" w:lineRule="atLeast"/>
                          <w:rPr>
                            <w:rFonts w:ascii="Arial" w:hAnsi="Arial" w:cs="Arial"/>
                            <w:sz w:val="21"/>
                            <w:szCs w:val="21"/>
                          </w:rPr>
                        </w:pPr>
                        <w:r>
                          <w:rPr>
                            <w:rFonts w:ascii="Arial" w:hAnsi="Arial" w:cs="Arial"/>
                            <w:sz w:val="21"/>
                            <w:szCs w:val="21"/>
                          </w:rPr>
                          <w:t xml:space="preserve">Welche Chancen und Risiken ergeben sich aus der Digitalisierung der Lebens- und Arbeitswelt für „benachteiligte” Jugendliche und welche Kompetenzen benötigen die Jugendlichen sowie die Fachkräfte der Jugendsozialarbeit, um den Herausforderungen zu begegnen? Um diese Frage zu erörtern und Handlungsoptionen aufzuzeigen, lädt das Kolpingwerk Deutschland im Rahmen seiner Netzwerkarbeit in der BAG KJS zusammen mit der IN VIA Akademie zu einer Fachtagung ein. </w:t>
                        </w:r>
                        <w:r>
                          <w:rPr>
                            <w:rFonts w:ascii="Arial" w:hAnsi="Arial" w:cs="Arial"/>
                            <w:sz w:val="21"/>
                            <w:szCs w:val="21"/>
                          </w:rPr>
                          <w:br/>
                        </w:r>
                        <w:r>
                          <w:rPr>
                            <w:rFonts w:ascii="Arial" w:hAnsi="Arial" w:cs="Arial"/>
                            <w:b/>
                            <w:bCs/>
                            <w:sz w:val="21"/>
                            <w:szCs w:val="21"/>
                          </w:rPr>
                          <w:t>Anmeldeschluss ist der 8. Oktober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8. November 2018, 10:00 – 16:00 Uhr, N VIA Akademie/</w:t>
                        </w:r>
                        <w:proofErr w:type="spellStart"/>
                        <w:r>
                          <w:rPr>
                            <w:rFonts w:ascii="Arial" w:hAnsi="Arial" w:cs="Arial"/>
                            <w:sz w:val="21"/>
                            <w:szCs w:val="21"/>
                          </w:rPr>
                          <w:t>Meinwerk</w:t>
                        </w:r>
                        <w:proofErr w:type="spellEnd"/>
                        <w:r>
                          <w:rPr>
                            <w:rFonts w:ascii="Arial" w:hAnsi="Arial" w:cs="Arial"/>
                            <w:sz w:val="21"/>
                            <w:szCs w:val="21"/>
                          </w:rPr>
                          <w:t>-Institut gGmbH, Paderborn</w:t>
                        </w:r>
                        <w:r>
                          <w:rPr>
                            <w:rFonts w:ascii="Arial" w:hAnsi="Arial" w:cs="Arial"/>
                            <w:sz w:val="21"/>
                            <w:szCs w:val="21"/>
                          </w:rPr>
                          <w:br/>
                        </w:r>
                        <w:r>
                          <w:rPr>
                            <w:rFonts w:ascii="Arial" w:hAnsi="Arial" w:cs="Arial"/>
                            <w:b/>
                            <w:bCs/>
                            <w:sz w:val="21"/>
                            <w:szCs w:val="21"/>
                          </w:rPr>
                          <w:t xml:space="preserve">Weitere Informationen </w:t>
                        </w:r>
                        <w:hyperlink r:id="rId22" w:tgtFrame="_blank" w:tooltip="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r>
                          <w:rPr>
                            <w:rFonts w:ascii="Arial" w:eastAsia="Times New Roman" w:hAnsi="Arial" w:cs="Arial"/>
                          </w:rPr>
                          <w:t>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gridAfter w:val="1"/>
                      <w:wAfter w:w="150" w:type="dxa"/>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Stellen</w:t>
                        </w:r>
                      </w:p>
                    </w:tc>
                  </w:tr>
                  <w:tr w:rsidR="0073217F">
                    <w:trPr>
                      <w:gridAfter w:val="1"/>
                      <w:wAfter w:w="150" w:type="dxa"/>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Schwules Netzwerk NRW sucht Pädagogische Fachkraft</w:t>
                        </w:r>
                      </w:p>
                      <w:p w:rsidR="0073217F" w:rsidRDefault="0073217F">
                        <w:pPr>
                          <w:pStyle w:val="StandardWeb"/>
                          <w:spacing w:after="240" w:afterAutospacing="0" w:line="255" w:lineRule="atLeast"/>
                          <w:rPr>
                            <w:rFonts w:ascii="Arial" w:hAnsi="Arial" w:cs="Arial"/>
                            <w:sz w:val="21"/>
                            <w:szCs w:val="21"/>
                          </w:rPr>
                        </w:pPr>
                        <w:r>
                          <w:rPr>
                            <w:rFonts w:ascii="Arial" w:hAnsi="Arial" w:cs="Arial"/>
                            <w:sz w:val="21"/>
                            <w:szCs w:val="21"/>
                          </w:rPr>
                          <w:t>Zum nächstmöglichen Zeitpunkt sucht das Schwule Netzwerk NRW für das SCHLAU-Büro in Köln unbefristet eine Pädagogische Fachkraft (50 %, 19,93Std./Woche).</w:t>
                        </w:r>
                        <w:r>
                          <w:rPr>
                            <w:rFonts w:ascii="Arial" w:hAnsi="Arial" w:cs="Arial"/>
                            <w:sz w:val="21"/>
                            <w:szCs w:val="21"/>
                          </w:rPr>
                          <w:br/>
                        </w:r>
                        <w:r>
                          <w:rPr>
                            <w:rFonts w:ascii="Arial" w:hAnsi="Arial" w:cs="Arial"/>
                            <w:b/>
                            <w:bCs/>
                            <w:sz w:val="21"/>
                            <w:szCs w:val="21"/>
                          </w:rPr>
                          <w:t>Bewerbungsschluss ist der 10. Oktober 2018.</w:t>
                        </w:r>
                        <w:r>
                          <w:rPr>
                            <w:rFonts w:ascii="Arial" w:hAnsi="Arial" w:cs="Arial"/>
                            <w:sz w:val="21"/>
                            <w:szCs w:val="21"/>
                          </w:rPr>
                          <w:br/>
                        </w:r>
                        <w:r>
                          <w:rPr>
                            <w:rFonts w:ascii="Arial" w:hAnsi="Arial" w:cs="Arial"/>
                            <w:b/>
                            <w:bCs/>
                            <w:sz w:val="21"/>
                            <w:szCs w:val="21"/>
                          </w:rPr>
                          <w:t xml:space="preserve">Weitere Informationen in der </w:t>
                        </w:r>
                        <w:hyperlink r:id="rId23"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bookmarkStart w:id="0" w:name="_GoBack"/>
                        <w:bookmarkEnd w:id="0"/>
                      </w:p>
                      <w:p w:rsidR="0073217F" w:rsidRDefault="0073217F">
                        <w:pPr>
                          <w:pStyle w:val="berschrift3"/>
                          <w:spacing w:before="0" w:beforeAutospacing="0" w:after="0" w:afterAutospacing="0"/>
                          <w:rPr>
                            <w:rFonts w:ascii="Arial" w:eastAsia="Times New Roman" w:hAnsi="Arial" w:cs="Arial"/>
                          </w:rPr>
                        </w:pPr>
                        <w:r>
                          <w:rPr>
                            <w:rFonts w:ascii="Arial" w:eastAsia="Times New Roman" w:hAnsi="Arial" w:cs="Arial"/>
                          </w:rPr>
                          <w:t>Schwules Netzwerk NRW sucht Landeskoordination Trans*</w:t>
                        </w:r>
                      </w:p>
                      <w:p w:rsidR="0073217F" w:rsidRDefault="0073217F">
                        <w:pPr>
                          <w:pStyle w:val="StandardWeb"/>
                          <w:spacing w:line="255" w:lineRule="atLeast"/>
                          <w:rPr>
                            <w:rFonts w:ascii="Arial" w:hAnsi="Arial" w:cs="Arial"/>
                            <w:sz w:val="21"/>
                            <w:szCs w:val="21"/>
                          </w:rPr>
                        </w:pPr>
                        <w:r>
                          <w:rPr>
                            <w:rFonts w:ascii="Arial" w:hAnsi="Arial" w:cs="Arial"/>
                            <w:sz w:val="21"/>
                            <w:szCs w:val="21"/>
                          </w:rPr>
                          <w:t xml:space="preserve">Für die Umsetzung von Projekten und Maßnahmen, für den fachlichen Austausch mit den </w:t>
                        </w:r>
                        <w:proofErr w:type="spellStart"/>
                        <w:r>
                          <w:rPr>
                            <w:rFonts w:ascii="Arial" w:hAnsi="Arial" w:cs="Arial"/>
                            <w:sz w:val="21"/>
                            <w:szCs w:val="21"/>
                          </w:rPr>
                          <w:t>trans</w:t>
                        </w:r>
                        <w:proofErr w:type="spellEnd"/>
                        <w:r>
                          <w:rPr>
                            <w:rFonts w:ascii="Arial" w:hAnsi="Arial" w:cs="Arial"/>
                            <w:sz w:val="21"/>
                            <w:szCs w:val="21"/>
                          </w:rPr>
                          <w:t xml:space="preserve">* Gruppen und </w:t>
                        </w:r>
                        <w:proofErr w:type="spellStart"/>
                        <w:r>
                          <w:rPr>
                            <w:rFonts w:ascii="Arial" w:hAnsi="Arial" w:cs="Arial"/>
                            <w:sz w:val="21"/>
                            <w:szCs w:val="21"/>
                          </w:rPr>
                          <w:t>trans</w:t>
                        </w:r>
                        <w:proofErr w:type="spellEnd"/>
                        <w:r>
                          <w:rPr>
                            <w:rFonts w:ascii="Arial" w:hAnsi="Arial" w:cs="Arial"/>
                            <w:sz w:val="21"/>
                            <w:szCs w:val="21"/>
                          </w:rPr>
                          <w:t>* Beratungsstellen in NRW sowie für die Kommunikation und Kooperation mit dem Landesverband Netzwerk Geschlechtliche Vielfalt Trans* NRW e.V. (NGVT* NRW) sucht das Schwule Netzwerk NRW zum 1. Dezember 2018 oder später eine engagierte Landeskoordination Trans* in Teilzeit (50 %, 19,93 Std./Woche). Die Stelle ist zunächst befristet bis zum 31. Dezember 2019. Eine Weiterbeschäftigung ist bei entsprechender Förderung vorgesehen.</w:t>
                        </w:r>
                        <w:r>
                          <w:rPr>
                            <w:rFonts w:ascii="Arial" w:hAnsi="Arial" w:cs="Arial"/>
                            <w:sz w:val="21"/>
                            <w:szCs w:val="21"/>
                          </w:rPr>
                          <w:br/>
                        </w:r>
                        <w:r>
                          <w:rPr>
                            <w:rFonts w:ascii="Arial" w:hAnsi="Arial" w:cs="Arial"/>
                            <w:b/>
                            <w:bCs/>
                            <w:sz w:val="21"/>
                            <w:szCs w:val="21"/>
                          </w:rPr>
                          <w:t xml:space="preserve">Bewerbungsschluss ist der 10. Oktober 2018. </w:t>
                        </w:r>
                        <w:r>
                          <w:rPr>
                            <w:rFonts w:ascii="Arial" w:hAnsi="Arial" w:cs="Arial"/>
                            <w:sz w:val="21"/>
                            <w:szCs w:val="21"/>
                          </w:rPr>
                          <w:br/>
                        </w:r>
                        <w:r>
                          <w:rPr>
                            <w:rFonts w:ascii="Arial" w:hAnsi="Arial" w:cs="Arial"/>
                            <w:b/>
                            <w:bCs/>
                            <w:sz w:val="21"/>
                            <w:szCs w:val="21"/>
                          </w:rPr>
                          <w:t xml:space="preserve">Weitere Informationen in der </w:t>
                        </w:r>
                        <w:hyperlink r:id="rId24"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gridAfter w:val="1"/>
                      <w:wAfter w:w="150" w:type="dxa"/>
                      <w:trHeight w:val="750"/>
                      <w:tblCellSpacing w:w="0" w:type="dxa"/>
                    </w:trPr>
                    <w:tc>
                      <w:tcPr>
                        <w:tcW w:w="150" w:type="dxa"/>
                        <w:shd w:val="clear" w:color="auto" w:fill="FABA00"/>
                        <w:vAlign w:val="center"/>
                        <w:hideMark/>
                      </w:tcPr>
                      <w:p w:rsidR="0073217F" w:rsidRDefault="0073217F">
                        <w:pPr>
                          <w:rPr>
                            <w:rFonts w:eastAsia="Times New Roman"/>
                          </w:rPr>
                        </w:pPr>
                        <w:r>
                          <w:rPr>
                            <w:rFonts w:eastAsia="Times New Roman"/>
                            <w:b/>
                            <w:bCs/>
                          </w:rPr>
                          <w:t> </w:t>
                        </w:r>
                      </w:p>
                    </w:tc>
                    <w:tc>
                      <w:tcPr>
                        <w:tcW w:w="0" w:type="auto"/>
                        <w:shd w:val="clear" w:color="auto" w:fill="FABA00"/>
                        <w:vAlign w:val="center"/>
                        <w:hideMark/>
                      </w:tcPr>
                      <w:p w:rsidR="0073217F" w:rsidRDefault="0073217F">
                        <w:pPr>
                          <w:rPr>
                            <w:rFonts w:ascii="Arial" w:eastAsia="Times New Roman" w:hAnsi="Arial" w:cs="Arial"/>
                            <w:b/>
                            <w:bCs/>
                            <w:sz w:val="33"/>
                            <w:szCs w:val="33"/>
                          </w:rPr>
                        </w:pPr>
                        <w:r>
                          <w:rPr>
                            <w:rFonts w:ascii="Arial" w:eastAsia="Times New Roman" w:hAnsi="Arial" w:cs="Arial"/>
                            <w:b/>
                            <w:bCs/>
                            <w:sz w:val="33"/>
                            <w:szCs w:val="33"/>
                          </w:rPr>
                          <w:t>Hinweis</w:t>
                        </w:r>
                      </w:p>
                    </w:tc>
                  </w:tr>
                  <w:tr w:rsidR="0073217F">
                    <w:trPr>
                      <w:gridAfter w:val="1"/>
                      <w:wAfter w:w="150" w:type="dxa"/>
                      <w:trHeight w:val="150"/>
                      <w:tblCellSpacing w:w="0" w:type="dxa"/>
                    </w:trPr>
                    <w:tc>
                      <w:tcPr>
                        <w:tcW w:w="0" w:type="auto"/>
                        <w:gridSpan w:val="2"/>
                        <w:vAlign w:val="center"/>
                        <w:hideMark/>
                      </w:tcPr>
                      <w:p w:rsidR="0073217F" w:rsidRDefault="0073217F">
                        <w:pPr>
                          <w:rPr>
                            <w:rFonts w:eastAsia="Times New Roman"/>
                          </w:rPr>
                        </w:pPr>
                        <w:r>
                          <w:rPr>
                            <w:rFonts w:eastAsia="Times New Roman"/>
                          </w:rPr>
                          <w:t> </w:t>
                        </w:r>
                      </w:p>
                    </w:tc>
                  </w:tr>
                </w:tbl>
                <w:p w:rsidR="0073217F" w:rsidRDefault="0073217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73217F">
                    <w:trPr>
                      <w:tblCellSpacing w:w="0" w:type="dxa"/>
                    </w:trPr>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73217F" w:rsidRDefault="0073217F">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5"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6"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73217F" w:rsidRDefault="0073217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73217F">
                    <w:trPr>
                      <w:trHeight w:val="150"/>
                      <w:tblCellSpacing w:w="0" w:type="dxa"/>
                    </w:trPr>
                    <w:tc>
                      <w:tcPr>
                        <w:tcW w:w="0" w:type="auto"/>
                        <w:gridSpan w:val="3"/>
                        <w:vAlign w:val="center"/>
                        <w:hideMark/>
                      </w:tcPr>
                      <w:p w:rsidR="0073217F" w:rsidRDefault="0073217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73217F" w:rsidRDefault="0073217F">
                  <w:pPr>
                    <w:rPr>
                      <w:rFonts w:eastAsia="Times New Roman"/>
                      <w:sz w:val="20"/>
                      <w:szCs w:val="20"/>
                    </w:rPr>
                  </w:pPr>
                </w:p>
              </w:tc>
            </w:tr>
            <w:tr w:rsidR="0073217F">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73217F">
                    <w:trPr>
                      <w:trHeight w:val="300"/>
                      <w:tblCellSpacing w:w="0" w:type="dxa"/>
                    </w:trPr>
                    <w:tc>
                      <w:tcPr>
                        <w:tcW w:w="0" w:type="auto"/>
                        <w:shd w:val="clear" w:color="auto" w:fill="FABA00"/>
                        <w:tcMar>
                          <w:top w:w="375" w:type="dxa"/>
                          <w:left w:w="225" w:type="dxa"/>
                          <w:bottom w:w="0" w:type="dxa"/>
                          <w:right w:w="225" w:type="dxa"/>
                        </w:tcMar>
                        <w:hideMark/>
                      </w:tcPr>
                      <w:p w:rsidR="0073217F" w:rsidRDefault="0073217F">
                        <w:pPr>
                          <w:rPr>
                            <w:rFonts w:ascii="Arial" w:eastAsia="Times New Roman" w:hAnsi="Arial" w:cs="Arial"/>
                            <w:b/>
                            <w:bCs/>
                            <w:color w:val="FFFFFF"/>
                          </w:rPr>
                        </w:pPr>
                        <w:hyperlink r:id="rId27"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8"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9"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73217F" w:rsidRDefault="0073217F">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mdenken-jungdenken.de/fileadmin/templates/img/facebookNL.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32"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a:hlinkClick r:id="rId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mdenken-jungdenken.de/fileadmin/templates/img/twitterNL.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73217F">
                    <w:trPr>
                      <w:tblCellSpacing w:w="0" w:type="dxa"/>
                    </w:trPr>
                    <w:tc>
                      <w:tcPr>
                        <w:tcW w:w="0" w:type="auto"/>
                        <w:shd w:val="clear" w:color="auto" w:fill="FABA00"/>
                        <w:tcMar>
                          <w:top w:w="0" w:type="dxa"/>
                          <w:left w:w="225" w:type="dxa"/>
                          <w:bottom w:w="0" w:type="dxa"/>
                          <w:right w:w="225" w:type="dxa"/>
                        </w:tcMar>
                        <w:hideMark/>
                      </w:tcPr>
                      <w:p w:rsidR="0073217F" w:rsidRDefault="0073217F">
                        <w:pPr>
                          <w:rPr>
                            <w:rFonts w:ascii="Arial" w:eastAsia="Times New Roman" w:hAnsi="Arial" w:cs="Arial"/>
                          </w:rPr>
                        </w:pPr>
                        <w:hyperlink r:id="rId34"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73217F" w:rsidRDefault="0073217F">
                        <w:pPr>
                          <w:rPr>
                            <w:rFonts w:ascii="Arial" w:eastAsia="Times New Roman" w:hAnsi="Arial" w:cs="Arial"/>
                            <w:b/>
                            <w:bCs/>
                          </w:rPr>
                        </w:pPr>
                      </w:p>
                    </w:tc>
                  </w:tr>
                </w:tbl>
                <w:p w:rsidR="0073217F" w:rsidRDefault="0073217F">
                  <w:pPr>
                    <w:rPr>
                      <w:rFonts w:eastAsia="Times New Roman"/>
                      <w:sz w:val="20"/>
                      <w:szCs w:val="20"/>
                    </w:rPr>
                  </w:pPr>
                </w:p>
              </w:tc>
            </w:tr>
          </w:tbl>
          <w:p w:rsidR="0073217F" w:rsidRDefault="0073217F">
            <w:pPr>
              <w:rPr>
                <w:rFonts w:eastAsia="Times New Roman"/>
                <w:sz w:val="20"/>
                <w:szCs w:val="20"/>
              </w:rPr>
            </w:pPr>
          </w:p>
        </w:tc>
      </w:tr>
    </w:tbl>
    <w:p w:rsidR="00853974" w:rsidRDefault="00853974"/>
    <w:sectPr w:rsidR="00853974" w:rsidSect="00732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7F"/>
    <w:rsid w:val="0073217F"/>
    <w:rsid w:val="00853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81DAF-4443-4B79-8851-562BD0FE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17F"/>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73217F"/>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73217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217F"/>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73217F"/>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73217F"/>
    <w:rPr>
      <w:strike w:val="0"/>
      <w:dstrike w:val="0"/>
      <w:color w:val="FABA00"/>
      <w:u w:val="none"/>
      <w:effect w:val="none"/>
    </w:rPr>
  </w:style>
  <w:style w:type="paragraph" w:styleId="StandardWeb">
    <w:name w:val="Normal (Web)"/>
    <w:basedOn w:val="Standard"/>
    <w:uiPriority w:val="99"/>
    <w:unhideWhenUsed/>
    <w:rsid w:val="00732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2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jr.nrw/bunbtlick-beitraege" TargetMode="External"/><Relationship Id="rId13" Type="http://schemas.openxmlformats.org/officeDocument/2006/relationships/hyperlink" Target="https://www.lvr.de/de/nav_main/jugend_2/jugendfrderung/finanziellefrderung/kinderundjugendfrderplannrw/kinderundjugendfrderplannrw_1.jsp" TargetMode="External"/><Relationship Id="rId18" Type="http://schemas.openxmlformats.org/officeDocument/2006/relationships/hyperlink" Target="http://www.fonds-soziokultur.de/foerderung/foerderprogramme/der-jugend-eine-chance.html" TargetMode="External"/><Relationship Id="rId26" Type="http://schemas.openxmlformats.org/officeDocument/2006/relationships/hyperlink" Target="mailto:presse@ljr-nrw.de" TargetMode="External"/><Relationship Id="rId3" Type="http://schemas.openxmlformats.org/officeDocument/2006/relationships/webSettings" Target="webSettings.xml"/><Relationship Id="rId21" Type="http://schemas.openxmlformats.org/officeDocument/2006/relationships/hyperlink" Target="http://www.ljr-nrw.de/aktuelles/termine/detailansicht.html?tx_cal_controller%5Bview%5D=event&amp;tx_cal_controller%5Btype%5D=tx_cal_phpicalendar&amp;tx_cal_controller%5Buid%5D=573&amp;tx_cal_controller%5Byear%5D=2018&amp;tx_cal_controller%5Bmonth%5D=10&amp;tx_cal_controller%5Bday%5D=12&amp;cHash=b12a89d4317bfb712cbe07a2a466299b" TargetMode="External"/><Relationship Id="rId34" Type="http://schemas.openxmlformats.org/officeDocument/2006/relationships/hyperlink" Target="http://www.ljr-nrw.de/" TargetMode="External"/><Relationship Id="rId7" Type="http://schemas.openxmlformats.org/officeDocument/2006/relationships/hyperlink" Target="http://www.ljr-nrw.de/aktuelles/news/news-detail.html?tx_news_pi1%5Bnews%5D=750&amp;tx_news_pi1%5Bcontroller%5D=News&amp;tx_news_pi1%5Baction%5D=detail&amp;cHash=b667e4d762a2a6db031f147b68344fa0" TargetMode="External"/><Relationship Id="rId12" Type="http://schemas.openxmlformats.org/officeDocument/2006/relationships/hyperlink" Target="mailto:najib@ljr-nrw.de" TargetMode="External"/><Relationship Id="rId17" Type="http://schemas.openxmlformats.org/officeDocument/2006/relationships/hyperlink" Target="http://www.fonds-soziokultur.de/foerderung/foerderprogramme/der-jugend-eine-chance.html" TargetMode="External"/><Relationship Id="rId25" Type="http://schemas.openxmlformats.org/officeDocument/2006/relationships/hyperlink" Target="http://www.ljr-nrw.de/service/newsletter-abmelden.html" TargetMode="External"/><Relationship Id="rId33"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wissenschaftsjahr.de/2018/mitmachen/zeitreisende-entdeckt-die-berufe-im-wandel/" TargetMode="External"/><Relationship Id="rId20" Type="http://schemas.openxmlformats.org/officeDocument/2006/relationships/hyperlink" Target="http://www.ljr-nrw.de/aktuelles/termine/detailansicht.html?tx_cal_controller%5Bview%5D=event&amp;tx_cal_controller%5Btype%5D=tx_cal_phpicalendar&amp;tx_cal_controller%5Buid%5D=610&amp;tx_cal_controller%5Byear%5D=2018&amp;tx_cal_controller%5Bmonth%5D=10&amp;tx_cal_controller%5Bday%5D=10&amp;cHash=07230b2d46fc551eaf14182ece46f96c" TargetMode="External"/><Relationship Id="rId29" Type="http://schemas.openxmlformats.org/officeDocument/2006/relationships/hyperlink" Target="http://ljr-nrw.de/service/newsletter-abmelden.html" TargetMode="External"/><Relationship Id="rId1" Type="http://schemas.openxmlformats.org/officeDocument/2006/relationships/styles" Target="styles.xml"/><Relationship Id="rId6" Type="http://schemas.openxmlformats.org/officeDocument/2006/relationships/hyperlink" Target="http://www.ljr-nrw.de/aktuelles/news/news-detail.html?tx_news_pi1%5Bnews%5D=751&amp;tx_news_pi1%5Bcontroller%5D=News&amp;tx_news_pi1%5Baction%5D=detail&amp;cHash=d766317d4f14020d04808e34b27a691a" TargetMode="External"/><Relationship Id="rId11" Type="http://schemas.openxmlformats.org/officeDocument/2006/relationships/hyperlink" Target="http://ljr.nrw/iuventa-anmeldung" TargetMode="External"/><Relationship Id="rId24" Type="http://schemas.openxmlformats.org/officeDocument/2006/relationships/hyperlink" Target="http://www.ljr-nrw.de/aktuelles/jobs/liste/detailansicht.html?tx_news_pi1%5Bnews%5D=637&amp;tx_news_pi1%5Bcontroller%5D=News&amp;tx_news_pi1%5Baction%5D=detail&amp;cHash=c19b7d8668d66e79c7cfd0c724e2e313" TargetMode="External"/><Relationship Id="rId32" Type="http://schemas.openxmlformats.org/officeDocument/2006/relationships/hyperlink" Target="https://twitter.com/ljr_nrw" TargetMode="External"/><Relationship Id="rId5" Type="http://schemas.openxmlformats.org/officeDocument/2006/relationships/image" Target="media/image2.gif"/><Relationship Id="rId15" Type="http://schemas.openxmlformats.org/officeDocument/2006/relationships/hyperlink" Target="http://www.ljr-nrw.de/aktuelles/termine/detailansicht.html?tx_cal_controller%5Bview%5D=event&amp;tx_cal_controller%5Btype%5D=tx_cal_phpicalendar&amp;tx_cal_controller%5Buid%5D=607&amp;tx_cal_controller%5Byear%5D=2018&amp;tx_cal_controller%5Bmonth%5D=10&amp;tx_cal_controller%5Bday%5D=12&amp;cHash=46bf800b647b3f7f6c0ffe8660179703" TargetMode="External"/><Relationship Id="rId23" Type="http://schemas.openxmlformats.org/officeDocument/2006/relationships/hyperlink" Target="http://www.ljr-nrw.de/aktuelles/jobs/liste/detailansicht.html?tx_news_pi1%5Bnews%5D=586&amp;tx_news_pi1%5Bcontroller%5D=News&amp;tx_news_pi1%5Baction%5D=detail&amp;cHash=b5b6cea87d57cf48a6d2ece4298e2858" TargetMode="External"/><Relationship Id="rId28" Type="http://schemas.openxmlformats.org/officeDocument/2006/relationships/hyperlink" Target="http://www.ljr-nrw.de/index.php?id=83" TargetMode="External"/><Relationship Id="rId36" Type="http://schemas.openxmlformats.org/officeDocument/2006/relationships/theme" Target="theme/theme1.xml"/><Relationship Id="rId10" Type="http://schemas.openxmlformats.org/officeDocument/2006/relationships/hyperlink" Target="https://ljr.nrw/bunbtlick-beitraege" TargetMode="External"/><Relationship Id="rId19" Type="http://schemas.openxmlformats.org/officeDocument/2006/relationships/hyperlink" Target="http://www.ljr-nrw.de/aktuelles/termine/detailansicht.html?tx_cal_controller%5Bview%5D=event&amp;tx_cal_controller%5Btype%5D=tx_cal_phpicalendar&amp;tx_cal_controller%5Buid%5D=608&amp;tx_cal_controller%5Byear%5D=2018&amp;tx_cal_controller%5Bmonth%5D=10&amp;tx_cal_controller%5Bday%5D=06&amp;cHash=0297fa9aed476a86c600ae753c8971e6" TargetMode="External"/><Relationship Id="rId31"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ljr.nrw/bunbtlick-beitraege" TargetMode="External"/><Relationship Id="rId14" Type="http://schemas.openxmlformats.org/officeDocument/2006/relationships/hyperlink" Target="https://www.lwl-landesjugendamt.de/de/jufoe/finanzielle_hilfen2/" TargetMode="External"/><Relationship Id="rId22" Type="http://schemas.openxmlformats.org/officeDocument/2006/relationships/hyperlink" Target="http://www.ljr-nrw.de/aktuelles/termine/detailansicht.html?tx_cal_controller%5Bview%5D=event&amp;tx_cal_controller%5Btype%5D=tx_cal_phpicalendar&amp;tx_cal_controller%5Buid%5D=609&amp;tx_cal_controller%5Byear%5D=2018&amp;tx_cal_controller%5Bmonth%5D=11&amp;tx_cal_controller%5Bday%5D=08&amp;cHash=c67c1dd3b6dad274acde88d7082dc983" TargetMode="External"/><Relationship Id="rId27" Type="http://schemas.openxmlformats.org/officeDocument/2006/relationships/hyperlink" Target="http://www.ljr-nrw.de/index.php?id=82" TargetMode="External"/><Relationship Id="rId30" Type="http://schemas.openxmlformats.org/officeDocument/2006/relationships/hyperlink" Target="https://www.facebook.com/ljr.nr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12401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2018-09-26T18:51:00Z</dcterms:created>
  <dcterms:modified xsi:type="dcterms:W3CDTF">2018-09-26T18:53:00Z</dcterms:modified>
</cp:coreProperties>
</file>